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MEDIDAS PARA FACILITAR EL ACCESO A LA VIVIENDA EN ANDALUCÍA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El acceso a una vivienda digna es un derecho recogido en la Constitución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Española (Art. 47), que también determina el deber de las administraciones de promover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las condiciones necesarias para la igualdad en el ejercicio de los derechos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constitucionales.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El Estatuto de Autonomía para Andalucía, en su artículo 25 también consagra el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derecho a la vivienda como base necesaria para el pleno desarrollo de los demás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derechos constitucionales y estatutarios, concretando el mandato constitucional dirigido 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los poderes públicos de promover las condiciones necesarias para la efectividad del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derecho a la vivienda, incluyendo la promoción pública de vivienda.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Por tanto, existe un amplio consenso sobre la importancia del derecho a la vivienda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como uno de los pilares fundamentales del estado del bienestar y el deber todas las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administraciones de promoverlo, dentro de las posibilidades de su marco competencial.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En Andalucía, con competencias plenas en materia de vivienda recogidas en el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Estatuto de Autonomía para Andalucía, los datos de emergencia habitacional son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alarmantes, durante 2023, se produjeron 4.451 desahucios, 11 al día, de los que el 72%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son de viviendas en alquiler.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El informe de la Red de Conflictos Urbanos sobre la situación de la vivienda en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Andalucía señala que entre 2017 y 2022 solo se han construido 100 viviendas protegidas.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En 2014 alquilar un piso costaba de media en cualquier capital andaluza en torno a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472 euros, actualmente rondan los 880 euros de media. El primer trimestre de 2024 ha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protagonizado una subida histórica en los alquileres, un 14% con respecto a ejercicios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económicos anteriores.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El precio de comprar una vivienda también lleva años experimentando subidas, según los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datos del Instituto Nacional de Estadística Andalucía fue el territorio en el que se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experimentó una mayor subida de precio durante 2023, un 5%.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El precio de la vivienda en la provincia de Granada ha sufrido un incremento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inasumible en los últimos 5 años. Desde octubre de 2019, el IPC ha subido en Andalucía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un 18,8%, pero el precio de la vivienda ha subido un 22% para la compra en la provincia,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un 33% en la capital y un 23% en la Costa. Esto representa estar 3 puntos por encima del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IPC en el mismo periodo para la provincia, un 4% para la comarca de la costa y un 14%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para la capital.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Respecto del alquiler los resultados son aún más alarmantes, con una subida del 33%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para el conjunto de la provincia, un 28% en la costa y un 28% en Granada capital, lo que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indica que los precios se han disparado, sobre todo, en el área metropolitana. Estas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subidas están 14 puntos por encima del IPC acumulado de 2019 a 2024 en el conjunto de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la provincia, y 9 puntos por encima para la Costa y la Capital.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El precio de la vivienda en alquiler ha subido en la provincia de Granada 5 veces más de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la referencia marcada por la ley de vivienda para poder declararla como zona con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mercado de vivienda tensionado según el Art. 18.3.b) de la Ley 12/2023, de 24 de mayo,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por el derecho a la vivienda.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Mientras tanto, los salarios medios en la provincia aumentaron tan sólo un 15% en el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último periodo El crecimiento ha sido el triple de esta referencia para la capital de la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provincia y la comarca de la costa de 5 años disponible (2017-2022), según el Instituto de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Estadístico de Andalucía. Esto supone que las familias dedican cada vez más a pagar la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vivienda y tienen cada vez menor poder adquisitivo, mientras la reducida proporción de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nuestra sociedad que representan los rentistas multiplican sus ingresos.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Todos estos datos se están viendo agravados por el aumento desmesurado e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incontrolado de las viviendas de uso turístico convierte a Andalucía en la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comunidad autónoma con más viviendas turísticas del país.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En este sentido, el decreto de la Junta de Andalucía sobre viviendas de uso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turístico es muy limitado, y básicamente se limita a incorporar lo que vía regulación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urbanística podían ya hacer los Ayuntamientos, sin que se aporte un marco competencial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y unas herramientas que limiten las viviendas a usos no habitacionales únicamente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cuando esté garantizado el derecho a la vivienda, recogido tanto en la Constitución como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en el Estatuto de Autonomía, para el conjunto de la ciudadanía andaluza.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La Ley 12/2023, de 24 de mayo, por el derecho a la vivienda es la primera ley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estatal reguladora del derecho a la vivienda desde la aprobación de la Constitución.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Su disposición final tercera incluye la posibilidad de aplicar un recargo en el Impuesto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sobre Bienes Inmuebles (IBI) a los inmuebles de uso residencial desocupados con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carácter permanente, que “podrá aplicarse a aquellas viviendas vacías durante más de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dos años, con un mínimo de cuatro viviendas por propietario, salvo causas justificadas de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desocupación temporal, tasadas por la ley”. Asimismo, la norma permite el incremento del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recargo actualmente situado en el 50% de la cuota líquida del IBI “hasta un máximo del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150%”, en función de la duración de la desocupación y del número de viviendas también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desocupadas, pertenecientes al mismo titular en el término municipal.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Nuestro municipio no es una excepción a los graves problemas de acceso a la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vivienda que sufre nuestro país. Durante los últimos años se ha podido observar un aumento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importante de las personas con dificultades para acceder a una vivienda en condiciones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de mercado, multiplicándose las demandas de vivienda social, especialmente entre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personas en riesgo de exclusión y jóvenes.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El encarecimiento de la vivienda, la escasa oferta de alquiler y, en zonas costeras,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la práctica cada vez más frecuente de no alquilar durante años completos, han generado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graves problemas de acceso a una residencia habitual.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La declaración de Zonas Tensionadas permitiría regular los precios de los nuevos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contratos de alquiler, con el fin de contener la escalada de precios. El recargo del IBI de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viviendas permanentemente desocupadas de grandes tenedores contribuiría a ampliar la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oferta de alquiler. Ambas medidas mejorarían las condiciones para el acceso a una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residencia habitual de jóvenes y personas en riesgo de exclusión.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Por todo ello, proponemos al Pleno de la Corporación la adopción de los siguientes</w:t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  <w:t xml:space="preserve">ACUERDOS: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PRIMERO.–– Instar a la Junta de Andalucía a declarar las Zonas Tensionadas existentes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en base a lo establecido en la Ley 12/2023, de 24 de mayo, por el derecho a la vivienda,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ajustando el precio del alquiler en zonas tensionadas: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Garantizando topes en el precio de alquiler, impidiendo subidas más allá del 3%.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Estableciendo la posibilidad de prórroga extraordinaria anual para el arrendatario tras la finalización del contrato por un periodo máximo de tres años, en los mismos términos y condiciones del contrato en vigor.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Aprobando Incentivos fiscales para el alquiler de larga duración 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SEGUNDO. –- Instar a la Junta de Andalucía a dar cumplimiento a la ley que obliga a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destinar el 70% de los saldos positivos anuales de los depósitos de alquiler a la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  <w:t xml:space="preserve">promoción pública de vivienda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TERCERO.–-Instar a la Junta de Andalucía a ejecutar todos los recursos en materia de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vivienda que le son transferidos por el Estado</w:t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  <w:t xml:space="preserve">CUARTO.–-Instar a la Junta de Andalucía a establecer una moratoria, regular y limitar las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viviendas de uso turístico 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QUINTO.–-Instar al Gobierno de la Junta de Andalucía y del Estado a dedicar el 2% del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PIB de sus respectivos presupuestos a políticas activas en materia de vivienda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priorizando la ampliación del parque público de vivienda de alquiler asequible y no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descalificable.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SEXTO.–- Exigir al Gobierno de España a abrir un proceso de diálogo con la participación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de agentes sociales, políticos y económicos para, una vez cumplido el año de vigencia de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la ley Ley 12/2023, de 24 de mayo, por el derecho a la vivienda, avanzar en el desarrollo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efectivo de los principios generales que la misma establecen con el objetivo de garantizar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  <w:t xml:space="preserve">el derecho a la vivienda a través de la intervención pública en la materia.</w:t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  <w:t xml:space="preserve">SÉPTIMO.–– Iniciar los trámites necesarios para aplicar un recargo del IBI a las viviendas de</w:t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grandes tenedores (titulares 5 o más viviendas en alquiler), desocupadas durante dos o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más años, según los términos establecidos en la Ley 12/2023, de 24 de mayo, por el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Derecho a la vivienda.</w:t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OCTAVO .–- Dar traslado de los acuerdos a la Presidencia de la Junta de Andalucía y a los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  <w:t xml:space="preserve">Grupos políticos del Parlamento de Andalucía.</w:t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