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5A3E" w14:textId="77777777" w:rsidR="001808E1" w:rsidRPr="00883369" w:rsidRDefault="001808E1">
      <w:pPr>
        <w:jc w:val="both"/>
        <w:rPr>
          <w:rFonts w:ascii="Arial" w:eastAsia="Arial" w:hAnsi="Arial" w:cs="Arial"/>
          <w:color w:val="7F7F7F" w:themeColor="text1" w:themeTint="80"/>
        </w:rPr>
      </w:pPr>
    </w:p>
    <w:p w14:paraId="11F055B0" w14:textId="4EBDA26B" w:rsidR="0066670F" w:rsidRPr="00883369" w:rsidRDefault="00333AEB" w:rsidP="006177F8">
      <w:pPr>
        <w:jc w:val="both"/>
        <w:rPr>
          <w:rFonts w:ascii="Arial" w:eastAsia="Arial" w:hAnsi="Arial" w:cs="Arial"/>
          <w:color w:val="7F7F7F" w:themeColor="text1" w:themeTint="80"/>
          <w:u w:val="single"/>
        </w:rPr>
      </w:pPr>
      <w:r w:rsidRPr="00883369">
        <w:rPr>
          <w:rFonts w:ascii="Arial" w:eastAsia="Arial" w:hAnsi="Arial" w:cs="Arial"/>
          <w:color w:val="7F7F7F" w:themeColor="text1" w:themeTint="80"/>
          <w:sz w:val="24"/>
          <w:szCs w:val="24"/>
        </w:rPr>
        <w:t>INMACULADA OMISTE FERNÁNDEZ, como portavoz del Grupo Municipal de IU-EQUO en el Ayuntamiento de Motril, en virtud de las atribuciones que le confiere la legislación vigente en materia de Régimen Local y como en derecho mejor proceda, eleva al Pleno de la Corporación la siguiente:</w:t>
      </w:r>
      <w:r w:rsidR="006177F8" w:rsidRPr="00883369">
        <w:rPr>
          <w:rFonts w:ascii="Arial" w:eastAsia="Arial" w:hAnsi="Arial" w:cs="Arial"/>
          <w:color w:val="7F7F7F" w:themeColor="text1" w:themeTint="80"/>
          <w:sz w:val="24"/>
          <w:szCs w:val="24"/>
        </w:rPr>
        <w:t xml:space="preserve"> </w:t>
      </w:r>
    </w:p>
    <w:p w14:paraId="2EDDA7DF" w14:textId="77777777" w:rsidR="00C916C6" w:rsidRDefault="00C916C6" w:rsidP="00C916C6">
      <w:pPr>
        <w:spacing w:after="120"/>
        <w:jc w:val="both"/>
        <w:rPr>
          <w:rFonts w:ascii="Arial" w:eastAsia="Arial" w:hAnsi="Arial" w:cs="Arial"/>
          <w:color w:val="000000"/>
          <w:sz w:val="24"/>
          <w:szCs w:val="24"/>
        </w:rPr>
      </w:pPr>
    </w:p>
    <w:p w14:paraId="087DD661" w14:textId="77777777" w:rsidR="00C916C6" w:rsidRDefault="00C916C6" w:rsidP="00C916C6">
      <w:pPr>
        <w:spacing w:after="120"/>
        <w:jc w:val="center"/>
        <w:rPr>
          <w:rFonts w:ascii="Arial" w:eastAsia="Arial" w:hAnsi="Arial" w:cs="Arial"/>
          <w:color w:val="000000"/>
          <w:sz w:val="24"/>
          <w:szCs w:val="24"/>
        </w:rPr>
      </w:pPr>
      <w:r>
        <w:rPr>
          <w:rFonts w:ascii="Arial" w:eastAsia="Arial" w:hAnsi="Arial" w:cs="Arial"/>
          <w:color w:val="000000"/>
          <w:sz w:val="24"/>
          <w:szCs w:val="24"/>
        </w:rPr>
        <w:t>MOCIÓN PARA SUSPENDER LOS EFECTOS COERCITIVOS EN LA PRÁCTICA DE LAS REGLAS FISCALES PARA QUE LOS AYUNTAMIENTOS PUEDAN ABORDAR LAS POLÍTICAS NECESARIAS PARA PROTEGER A LA POBLACIÓN DE LAS CONSECUENCIAS DE LA PANDEMIA</w:t>
      </w:r>
    </w:p>
    <w:p w14:paraId="5E95FBD6" w14:textId="77777777" w:rsidR="00C916C6" w:rsidRDefault="00C916C6" w:rsidP="00C916C6">
      <w:pPr>
        <w:spacing w:after="160" w:line="256" w:lineRule="auto"/>
        <w:ind w:left="720"/>
        <w:jc w:val="both"/>
        <w:rPr>
          <w:rFonts w:ascii="Arial" w:eastAsia="Arial" w:hAnsi="Arial" w:cs="Arial"/>
          <w:color w:val="000000"/>
          <w:sz w:val="24"/>
          <w:szCs w:val="24"/>
        </w:rPr>
      </w:pPr>
    </w:p>
    <w:p w14:paraId="3AEB2E37" w14:textId="77777777" w:rsidR="00C916C6" w:rsidRDefault="00C916C6" w:rsidP="00C916C6">
      <w:pPr>
        <w:jc w:val="both"/>
        <w:rPr>
          <w:rFonts w:ascii="Arial" w:eastAsia="Arial" w:hAnsi="Arial" w:cs="Arial"/>
          <w:color w:val="000000"/>
          <w:sz w:val="24"/>
          <w:szCs w:val="24"/>
        </w:rPr>
      </w:pPr>
      <w:r>
        <w:rPr>
          <w:rFonts w:ascii="Arial" w:eastAsia="Arial" w:hAnsi="Arial" w:cs="Arial"/>
          <w:color w:val="000000"/>
          <w:sz w:val="24"/>
          <w:szCs w:val="24"/>
        </w:rPr>
        <w:t>EXPOSICIÓN DE MOTIVOS</w:t>
      </w:r>
    </w:p>
    <w:p w14:paraId="6B58B5EA" w14:textId="77777777" w:rsidR="00C916C6" w:rsidRDefault="00C916C6" w:rsidP="00C916C6">
      <w:pPr>
        <w:jc w:val="both"/>
        <w:rPr>
          <w:rFonts w:ascii="Arial" w:eastAsia="Arial" w:hAnsi="Arial" w:cs="Arial"/>
          <w:sz w:val="24"/>
          <w:szCs w:val="24"/>
        </w:rPr>
      </w:pPr>
      <w:r>
        <w:rPr>
          <w:rFonts w:ascii="Arial" w:eastAsia="Arial" w:hAnsi="Arial" w:cs="Arial"/>
          <w:sz w:val="24"/>
          <w:szCs w:val="24"/>
        </w:rPr>
        <w:t xml:space="preserve">La grave pandemia del Covid19 está ocasionando consecuencias que solo pueden calificarse de devastadoras. En primer lugar, en términos de vidas humanas ya que a nivel mundial el número de personas fallecidas supera más de </w:t>
      </w:r>
      <w:r>
        <w:rPr>
          <w:rFonts w:ascii="Arial" w:eastAsia="Arial" w:hAnsi="Arial" w:cs="Arial"/>
          <w:color w:val="000000"/>
          <w:sz w:val="24"/>
          <w:szCs w:val="24"/>
        </w:rPr>
        <w:t>280.000</w:t>
      </w:r>
      <w:r>
        <w:rPr>
          <w:rFonts w:ascii="Arial" w:eastAsia="Arial" w:hAnsi="Arial" w:cs="Arial"/>
          <w:sz w:val="24"/>
          <w:szCs w:val="24"/>
        </w:rPr>
        <w:t xml:space="preserve"> personas en el mundo, más de </w:t>
      </w:r>
      <w:r>
        <w:rPr>
          <w:rFonts w:ascii="Arial" w:eastAsia="Arial" w:hAnsi="Arial" w:cs="Arial"/>
          <w:color w:val="000000"/>
          <w:sz w:val="24"/>
          <w:szCs w:val="24"/>
        </w:rPr>
        <w:t>26.000</w:t>
      </w:r>
      <w:r>
        <w:rPr>
          <w:rFonts w:ascii="Arial" w:eastAsia="Arial" w:hAnsi="Arial" w:cs="Arial"/>
          <w:sz w:val="24"/>
          <w:szCs w:val="24"/>
        </w:rPr>
        <w:t xml:space="preserve"> de ellas en España.</w:t>
      </w:r>
    </w:p>
    <w:p w14:paraId="4547CC37" w14:textId="77777777" w:rsidR="00C916C6" w:rsidRDefault="00C916C6" w:rsidP="00C916C6">
      <w:pPr>
        <w:jc w:val="both"/>
        <w:rPr>
          <w:rFonts w:ascii="Arial" w:eastAsia="Arial" w:hAnsi="Arial" w:cs="Arial"/>
          <w:sz w:val="24"/>
          <w:szCs w:val="24"/>
        </w:rPr>
      </w:pPr>
      <w:r>
        <w:rPr>
          <w:rFonts w:ascii="Arial" w:eastAsia="Arial" w:hAnsi="Arial" w:cs="Arial"/>
          <w:sz w:val="24"/>
          <w:szCs w:val="24"/>
        </w:rPr>
        <w:t>Gracias a los esfuerzos de las autoridades sanitarias, a la actuación del Gobierno que decretó ya hace más de un mes el estado de alarma y a la colaboración de la ciudadanía en la etapa de confinamiento, se está consiguiendo frenar la evolución de la enfermedad. Incluso así, el daño es gravísimo.</w:t>
      </w:r>
    </w:p>
    <w:p w14:paraId="6E723DB5" w14:textId="77777777" w:rsidR="00C916C6" w:rsidRDefault="00C916C6" w:rsidP="00C916C6">
      <w:pPr>
        <w:jc w:val="both"/>
        <w:rPr>
          <w:rFonts w:ascii="Arial" w:eastAsia="Arial" w:hAnsi="Arial" w:cs="Arial"/>
          <w:sz w:val="24"/>
          <w:szCs w:val="24"/>
        </w:rPr>
      </w:pPr>
      <w:r>
        <w:rPr>
          <w:rFonts w:ascii="Arial" w:eastAsia="Arial" w:hAnsi="Arial" w:cs="Arial"/>
          <w:sz w:val="24"/>
          <w:szCs w:val="24"/>
        </w:rPr>
        <w:t xml:space="preserve">Tal y como han indicado las instituciones internacionales, el impacto negativo de la emergencia sanitaria será también muy importante sobre la economía mundial. </w:t>
      </w:r>
    </w:p>
    <w:p w14:paraId="2FB63FE4" w14:textId="77777777" w:rsidR="00C916C6" w:rsidRDefault="00C916C6" w:rsidP="00C916C6">
      <w:pPr>
        <w:jc w:val="both"/>
        <w:rPr>
          <w:rFonts w:ascii="Arial" w:eastAsia="Arial" w:hAnsi="Arial" w:cs="Arial"/>
          <w:sz w:val="24"/>
          <w:szCs w:val="24"/>
        </w:rPr>
      </w:pPr>
      <w:r>
        <w:rPr>
          <w:rFonts w:ascii="Arial" w:eastAsia="Arial" w:hAnsi="Arial" w:cs="Arial"/>
          <w:sz w:val="24"/>
          <w:szCs w:val="24"/>
        </w:rPr>
        <w:t>En la misma línea y de forma previa, la Comisión Europea suspendió el 20 de marzo la aplicación del Pacto de Estabilidad y Crecimiento, es decir, el conjunto de normas fiscales comunitarias, abriendo así la puerta a que los gobiernos nacionales puedan elevar su gasto público todo lo necesario para combatir la propagación del coronavirus y mitigar sus consecuencias económicas.</w:t>
      </w:r>
    </w:p>
    <w:p w14:paraId="7DBDE078" w14:textId="77777777" w:rsidR="00C916C6" w:rsidRDefault="00C916C6" w:rsidP="00C916C6">
      <w:pPr>
        <w:jc w:val="both"/>
        <w:rPr>
          <w:rFonts w:ascii="Arial" w:eastAsia="Arial" w:hAnsi="Arial" w:cs="Arial"/>
          <w:sz w:val="24"/>
          <w:szCs w:val="24"/>
        </w:rPr>
      </w:pPr>
      <w:r>
        <w:rPr>
          <w:rFonts w:ascii="Arial" w:eastAsia="Arial" w:hAnsi="Arial" w:cs="Arial"/>
          <w:sz w:val="24"/>
          <w:szCs w:val="24"/>
        </w:rPr>
        <w:lastRenderedPageBreak/>
        <w:t>Desgraciadamente, esas decisiones adoptadas, no han tenido aún efecto en España y no han sido aún trasladadas a la realidad de nuestro país.</w:t>
      </w:r>
    </w:p>
    <w:p w14:paraId="78596935" w14:textId="77777777" w:rsidR="00C916C6" w:rsidRDefault="00C916C6" w:rsidP="00C916C6">
      <w:pPr>
        <w:jc w:val="both"/>
        <w:rPr>
          <w:rFonts w:ascii="Arial" w:eastAsia="Arial" w:hAnsi="Arial" w:cs="Arial"/>
          <w:sz w:val="24"/>
          <w:szCs w:val="24"/>
        </w:rPr>
      </w:pPr>
      <w:r>
        <w:rPr>
          <w:rFonts w:ascii="Arial" w:eastAsia="Arial" w:hAnsi="Arial" w:cs="Arial"/>
          <w:sz w:val="24"/>
          <w:szCs w:val="24"/>
        </w:rPr>
        <w:t>La Ley Orgánica 2/2012, de 27 de abril, de Estabilidad Presupuestaria y Sostenibilidad Financiera, sigue en vigor y, de igual forma que ha bloqueado el gasto público desde 2012 hasta 2019, sigue restringiendo sobremanera la capacidad de gasto de las administraciones públicas en la nueva situación de emergencia.</w:t>
      </w:r>
    </w:p>
    <w:p w14:paraId="1925FBC9" w14:textId="77777777" w:rsidR="00C916C6" w:rsidRDefault="00C916C6" w:rsidP="00C916C6">
      <w:pPr>
        <w:jc w:val="both"/>
        <w:rPr>
          <w:rFonts w:ascii="Arial" w:eastAsia="Arial" w:hAnsi="Arial" w:cs="Arial"/>
          <w:sz w:val="24"/>
          <w:szCs w:val="24"/>
        </w:rPr>
      </w:pPr>
      <w:r>
        <w:rPr>
          <w:rFonts w:ascii="Arial" w:eastAsia="Arial" w:hAnsi="Arial" w:cs="Arial"/>
          <w:sz w:val="24"/>
          <w:szCs w:val="24"/>
        </w:rPr>
        <w:t xml:space="preserve">En concreto, la aplicación de la denominada “regla de gasto” provoca que los gobiernos de las corporaciones locales se encuentren obligados a mantener </w:t>
      </w:r>
      <w:proofErr w:type="gramStart"/>
      <w:r>
        <w:rPr>
          <w:rFonts w:ascii="Arial" w:eastAsia="Arial" w:hAnsi="Arial" w:cs="Arial"/>
          <w:sz w:val="24"/>
          <w:szCs w:val="24"/>
        </w:rPr>
        <w:t>importantes superávit</w:t>
      </w:r>
      <w:proofErr w:type="gramEnd"/>
      <w:r>
        <w:rPr>
          <w:rFonts w:ascii="Arial" w:eastAsia="Arial" w:hAnsi="Arial" w:cs="Arial"/>
          <w:sz w:val="24"/>
          <w:szCs w:val="24"/>
        </w:rPr>
        <w:t xml:space="preserve"> fiscales sin poder dedicarlos a hacer frente, en el marco de sus competencias, a las extraordinariamente altas tasas de exclusión social, de un 27,9% de la población (según el indicador AROPE de la última Encuesta de Condiciones de Vida) que presenta actualmente nuestro país. Ahora, el golpe económico derivado de la crisis del Covid19 impactará sobre las personas que sufren más precariedad sin que las administraciones locales tengan capacidad de intervenir por el efecto perverso de unas reglas fiscales aún en vigor en España.</w:t>
      </w:r>
    </w:p>
    <w:p w14:paraId="6139064A" w14:textId="77777777" w:rsidR="00C916C6" w:rsidRDefault="00C916C6" w:rsidP="00C916C6">
      <w:pPr>
        <w:jc w:val="both"/>
        <w:rPr>
          <w:rFonts w:ascii="Arial" w:eastAsia="Arial" w:hAnsi="Arial" w:cs="Arial"/>
          <w:sz w:val="24"/>
          <w:szCs w:val="24"/>
        </w:rPr>
      </w:pPr>
      <w:r>
        <w:rPr>
          <w:rFonts w:ascii="Arial" w:eastAsia="Arial" w:hAnsi="Arial" w:cs="Arial"/>
          <w:sz w:val="24"/>
          <w:szCs w:val="24"/>
        </w:rPr>
        <w:t>La Ley Orgánica 2/2012, de 27 de abril, de Estabilidad Presupuestaria y Sostenibilidad Financiera (LOEPSF), desarrollo de la reforma del artículo 135 de la Constitución Española, ha supuesto la consagración de la estabilidad presupuestaria como el principio máximo al que ha quedado supeditada el conjunto de la política económica y social de las administraciones públicas. Por sí solo, el apartado 3 de ese reformado artículo 135, en el que se da “prioridad absoluta” a los créditos para satisfacer los intereses y el capital de la deuda pública en el estado de gasto de los presupuestos, por encima de los créditos de las restantes políticas de gasto, entra en conflicto directo con la definición, en el artículo 1.1. de la Constitución, de nuestro Estado como un “Estado social y democrático de Derecho”.</w:t>
      </w:r>
    </w:p>
    <w:p w14:paraId="63B32E88" w14:textId="77777777" w:rsidR="00C916C6" w:rsidRDefault="00C916C6" w:rsidP="00C916C6">
      <w:pPr>
        <w:jc w:val="both"/>
        <w:rPr>
          <w:rFonts w:ascii="Arial" w:eastAsia="Arial" w:hAnsi="Arial" w:cs="Arial"/>
          <w:color w:val="0D0D0D"/>
          <w:sz w:val="24"/>
          <w:szCs w:val="24"/>
        </w:rPr>
      </w:pPr>
      <w:r>
        <w:rPr>
          <w:rFonts w:ascii="Arial" w:eastAsia="Arial" w:hAnsi="Arial" w:cs="Arial"/>
          <w:sz w:val="24"/>
          <w:szCs w:val="24"/>
        </w:rPr>
        <w:t xml:space="preserve">La enunciación, en el artículo 12 de la citada Ley, de la denominada “regla de gasto” está restringiendo de manera injustificada la actuación de las Corporaciones Locales en un contexto en el que coexisten </w:t>
      </w:r>
      <w:proofErr w:type="gramStart"/>
      <w:r>
        <w:rPr>
          <w:rFonts w:ascii="Arial" w:eastAsia="Arial" w:hAnsi="Arial" w:cs="Arial"/>
          <w:sz w:val="24"/>
          <w:szCs w:val="24"/>
        </w:rPr>
        <w:t>importantes superávit</w:t>
      </w:r>
      <w:proofErr w:type="gramEnd"/>
      <w:r>
        <w:rPr>
          <w:rFonts w:ascii="Arial" w:eastAsia="Arial" w:hAnsi="Arial" w:cs="Arial"/>
          <w:sz w:val="24"/>
          <w:szCs w:val="24"/>
        </w:rPr>
        <w:t xml:space="preserve"> </w:t>
      </w:r>
      <w:r>
        <w:rPr>
          <w:rFonts w:ascii="Arial" w:eastAsia="Arial" w:hAnsi="Arial" w:cs="Arial"/>
          <w:sz w:val="24"/>
          <w:szCs w:val="24"/>
        </w:rPr>
        <w:lastRenderedPageBreak/>
        <w:t>presupuestarios con acuciantes necesidades sociales, debido a unos servicios públicos fundamentales debilitados después de años de fuertes restricciones presupuestarias.</w:t>
      </w:r>
    </w:p>
    <w:p w14:paraId="6C0CF597" w14:textId="77777777" w:rsidR="00C916C6" w:rsidRDefault="00C916C6" w:rsidP="00C916C6">
      <w:pPr>
        <w:spacing w:before="240"/>
        <w:jc w:val="both"/>
        <w:rPr>
          <w:rFonts w:ascii="Arial" w:eastAsia="Arial" w:hAnsi="Arial" w:cs="Arial"/>
          <w:sz w:val="24"/>
          <w:szCs w:val="24"/>
        </w:rPr>
      </w:pPr>
      <w:r>
        <w:rPr>
          <w:rFonts w:ascii="Arial" w:eastAsia="Arial" w:hAnsi="Arial" w:cs="Arial"/>
          <w:sz w:val="24"/>
          <w:szCs w:val="24"/>
        </w:rPr>
        <w:t>Con el objetivo de frenar el impacto social de la pandemia, el Gobierno de España ha articulado una serie de medidas financieras y presupuestarias para facilitar la actuación de las corporaciones locales en el ejercicio de sus competencias de protección y promoción social.</w:t>
      </w:r>
    </w:p>
    <w:p w14:paraId="4836880F" w14:textId="77777777" w:rsidR="00C916C6" w:rsidRDefault="00C916C6" w:rsidP="00C916C6">
      <w:pPr>
        <w:spacing w:before="240"/>
        <w:jc w:val="both"/>
        <w:rPr>
          <w:rFonts w:ascii="Arial" w:eastAsia="Arial" w:hAnsi="Arial" w:cs="Arial"/>
          <w:sz w:val="24"/>
          <w:szCs w:val="24"/>
        </w:rPr>
      </w:pPr>
      <w:r>
        <w:rPr>
          <w:rFonts w:ascii="Arial" w:eastAsia="Arial" w:hAnsi="Arial" w:cs="Arial"/>
          <w:sz w:val="24"/>
          <w:szCs w:val="24"/>
        </w:rPr>
        <w:t>Se ha aprobado destinar “e</w:t>
      </w:r>
      <w:r>
        <w:rPr>
          <w:rFonts w:ascii="Arial" w:eastAsia="Arial" w:hAnsi="Arial" w:cs="Arial"/>
          <w:i/>
          <w:sz w:val="24"/>
          <w:szCs w:val="24"/>
        </w:rPr>
        <w:t>l superávit presupuestario de las entidades locales de 2019 a financiar gastos de inversión destinados a Servicios Sociales y promoción social”</w:t>
      </w:r>
      <w:r>
        <w:rPr>
          <w:rFonts w:ascii="Arial" w:eastAsia="Arial" w:hAnsi="Arial" w:cs="Arial"/>
          <w:sz w:val="24"/>
          <w:szCs w:val="24"/>
        </w:rPr>
        <w:t>. Esto permite a algunos Ayuntamientos reforzar sus recursos en Servicios Sociales para impulsar medidas de protección y promoción social de las personas vulnerables, pero aún son muchas las Entidades Locales que no pueden acogerse a estas disposiciones normativas debido a las limitaciones presupuestarias, la regla de gasto y otras restricciones que anteponen el pago de la deuda a poder hacer frente y dar respuesta a una crisis como las que estamos viviendo.</w:t>
      </w:r>
    </w:p>
    <w:p w14:paraId="6F0E77FF" w14:textId="77777777" w:rsidR="00C916C6" w:rsidRDefault="00C916C6" w:rsidP="00C916C6">
      <w:pPr>
        <w:spacing w:before="240"/>
        <w:jc w:val="both"/>
        <w:rPr>
          <w:rFonts w:ascii="Arial" w:eastAsia="Arial" w:hAnsi="Arial" w:cs="Arial"/>
          <w:sz w:val="24"/>
          <w:szCs w:val="24"/>
        </w:rPr>
      </w:pPr>
      <w:r>
        <w:rPr>
          <w:rFonts w:ascii="Arial" w:eastAsia="Arial" w:hAnsi="Arial" w:cs="Arial"/>
          <w:sz w:val="24"/>
          <w:szCs w:val="24"/>
        </w:rPr>
        <w:t>En ese sentido, tal y como recoge el acuerdo de coalición entre Unidas Podemos y PSOE, entendemos que el Gobierno Central debe seguir ampliando las competencias y capacidades de los gobiernos locales, garantizando el respecto de la autonomía local y fortaleciendo el papel de los municipios como unidad territorial básica.</w:t>
      </w:r>
    </w:p>
    <w:p w14:paraId="191E5598" w14:textId="77777777" w:rsidR="00C916C6" w:rsidRDefault="00C916C6" w:rsidP="00C916C6">
      <w:pPr>
        <w:spacing w:before="120" w:after="240"/>
        <w:jc w:val="both"/>
        <w:rPr>
          <w:rFonts w:ascii="Arial" w:eastAsia="Arial" w:hAnsi="Arial" w:cs="Arial"/>
          <w:sz w:val="24"/>
          <w:szCs w:val="24"/>
        </w:rPr>
      </w:pPr>
      <w:r>
        <w:rPr>
          <w:rFonts w:ascii="Arial" w:eastAsia="Arial" w:hAnsi="Arial" w:cs="Arial"/>
          <w:sz w:val="24"/>
          <w:szCs w:val="24"/>
        </w:rPr>
        <w:t xml:space="preserve">También la propia Federación Española de Municipios y Provincias (FEMP) ha acordado con un amplio consenso flexibilizar la regla de gasto para que los Ayuntamientos podamos </w:t>
      </w:r>
      <w:r>
        <w:rPr>
          <w:rFonts w:ascii="Arial" w:eastAsia="Arial" w:hAnsi="Arial" w:cs="Arial"/>
          <w:i/>
          <w:sz w:val="24"/>
          <w:szCs w:val="24"/>
        </w:rPr>
        <w:t>“participar en la solución de forma equilibrada mostrando como siempre hicieron su solidaridad con todas las instituciones y su vocación de atender a los ciudadanos de sus municipios”.</w:t>
      </w:r>
    </w:p>
    <w:p w14:paraId="3BC667AF" w14:textId="77777777" w:rsidR="00C916C6" w:rsidRDefault="00C916C6" w:rsidP="00C916C6">
      <w:pPr>
        <w:spacing w:before="240"/>
        <w:jc w:val="both"/>
        <w:rPr>
          <w:rFonts w:ascii="Arial" w:eastAsia="Arial" w:hAnsi="Arial" w:cs="Arial"/>
          <w:sz w:val="24"/>
          <w:szCs w:val="24"/>
        </w:rPr>
      </w:pPr>
      <w:r>
        <w:rPr>
          <w:rFonts w:ascii="Arial" w:eastAsia="Arial" w:hAnsi="Arial" w:cs="Arial"/>
          <w:color w:val="0D0D0D"/>
          <w:sz w:val="24"/>
          <w:szCs w:val="24"/>
        </w:rPr>
        <w:t xml:space="preserve">En este contexto resulta justificada una </w:t>
      </w:r>
      <w:r>
        <w:rPr>
          <w:rFonts w:ascii="Arial" w:eastAsia="Arial" w:hAnsi="Arial" w:cs="Arial"/>
          <w:sz w:val="24"/>
          <w:szCs w:val="24"/>
        </w:rPr>
        <w:t xml:space="preserve">reforma de la Ley Orgánica 2/2012, de 27 de abril, de Estabilidad Presupuestaria y Sostenibilidad Financiera, que modifique la regulación de la regla de gasto, de modo que permita a las Corporaciones Locales que además cumplen en su inmensa mayoría con los </w:t>
      </w:r>
      <w:r>
        <w:rPr>
          <w:rFonts w:ascii="Arial" w:eastAsia="Arial" w:hAnsi="Arial" w:cs="Arial"/>
          <w:sz w:val="24"/>
          <w:szCs w:val="24"/>
        </w:rPr>
        <w:lastRenderedPageBreak/>
        <w:t>criterios de estabilidad presupuestaria y sostenibilidad financiera, así como con el periodo máximo de pago de la deuda comercial, reinvertir su superávit fiscal para garantizar la prestación de los servicios públicos de su competencia.</w:t>
      </w:r>
    </w:p>
    <w:p w14:paraId="458478A5" w14:textId="77777777" w:rsidR="00C916C6" w:rsidRDefault="00C916C6" w:rsidP="00C916C6">
      <w:pPr>
        <w:spacing w:before="240"/>
        <w:jc w:val="both"/>
        <w:rPr>
          <w:rFonts w:ascii="Arial" w:eastAsia="Arial" w:hAnsi="Arial" w:cs="Arial"/>
          <w:sz w:val="24"/>
          <w:szCs w:val="24"/>
        </w:rPr>
      </w:pPr>
      <w:proofErr w:type="gramStart"/>
      <w:r>
        <w:rPr>
          <w:rFonts w:ascii="Arial" w:eastAsia="Arial" w:hAnsi="Arial" w:cs="Arial"/>
          <w:sz w:val="24"/>
          <w:szCs w:val="24"/>
        </w:rPr>
        <w:t>Además</w:t>
      </w:r>
      <w:proofErr w:type="gramEnd"/>
      <w:r>
        <w:rPr>
          <w:rFonts w:ascii="Arial" w:eastAsia="Arial" w:hAnsi="Arial" w:cs="Arial"/>
          <w:sz w:val="24"/>
          <w:szCs w:val="24"/>
        </w:rPr>
        <w:t xml:space="preserve"> es extremadamente urgente que, en tanto que la reforma de la Ley Orgánica sea realizada, se proceda a suspender los efectos coercitivos en la práctica de las reglas fiscales, tal y como ha sido aprobado por la Comisión Europea y el Eurogrupo.</w:t>
      </w:r>
    </w:p>
    <w:p w14:paraId="06152424" w14:textId="77777777" w:rsidR="00C916C6" w:rsidRDefault="00C916C6" w:rsidP="00C916C6">
      <w:pPr>
        <w:spacing w:before="240"/>
        <w:jc w:val="both"/>
        <w:rPr>
          <w:rFonts w:ascii="Arial" w:eastAsia="Arial" w:hAnsi="Arial" w:cs="Arial"/>
          <w:sz w:val="24"/>
          <w:szCs w:val="24"/>
        </w:rPr>
      </w:pPr>
    </w:p>
    <w:p w14:paraId="74183684" w14:textId="77777777" w:rsidR="00C916C6" w:rsidRDefault="00C916C6" w:rsidP="00C916C6">
      <w:pPr>
        <w:spacing w:after="0"/>
        <w:jc w:val="both"/>
        <w:rPr>
          <w:rFonts w:ascii="Arial" w:eastAsia="Arial" w:hAnsi="Arial" w:cs="Arial"/>
          <w:sz w:val="24"/>
          <w:szCs w:val="24"/>
        </w:rPr>
      </w:pPr>
    </w:p>
    <w:p w14:paraId="5FF0640E" w14:textId="77777777" w:rsidR="00C916C6" w:rsidRDefault="00C916C6" w:rsidP="00C916C6">
      <w:pPr>
        <w:spacing w:after="0"/>
        <w:jc w:val="center"/>
        <w:rPr>
          <w:rFonts w:ascii="Arial" w:eastAsia="Arial" w:hAnsi="Arial" w:cs="Arial"/>
          <w:sz w:val="24"/>
          <w:szCs w:val="24"/>
        </w:rPr>
      </w:pPr>
      <w:r>
        <w:rPr>
          <w:rFonts w:ascii="Arial" w:eastAsia="Arial" w:hAnsi="Arial" w:cs="Arial"/>
          <w:sz w:val="24"/>
          <w:szCs w:val="24"/>
        </w:rPr>
        <w:t>ACUERDOS</w:t>
      </w:r>
    </w:p>
    <w:p w14:paraId="243B61E7" w14:textId="77777777" w:rsidR="00C916C6" w:rsidRDefault="00C916C6" w:rsidP="00C916C6">
      <w:pPr>
        <w:spacing w:after="0"/>
        <w:jc w:val="both"/>
        <w:rPr>
          <w:rFonts w:ascii="Arial" w:eastAsia="Arial" w:hAnsi="Arial" w:cs="Arial"/>
          <w:sz w:val="24"/>
          <w:szCs w:val="24"/>
        </w:rPr>
      </w:pPr>
    </w:p>
    <w:p w14:paraId="15279537" w14:textId="77777777" w:rsidR="00C916C6" w:rsidRDefault="00C916C6" w:rsidP="00C916C6">
      <w:pPr>
        <w:spacing w:after="120"/>
        <w:jc w:val="both"/>
        <w:rPr>
          <w:rFonts w:ascii="Arial" w:eastAsia="Arial" w:hAnsi="Arial" w:cs="Arial"/>
          <w:sz w:val="24"/>
          <w:szCs w:val="24"/>
        </w:rPr>
      </w:pPr>
      <w:r>
        <w:rPr>
          <w:rFonts w:ascii="Arial" w:eastAsia="Arial" w:hAnsi="Arial" w:cs="Arial"/>
          <w:sz w:val="24"/>
          <w:szCs w:val="24"/>
        </w:rPr>
        <w:t>Instar al Gobierno de España a:</w:t>
      </w:r>
    </w:p>
    <w:p w14:paraId="2A941E99" w14:textId="77777777" w:rsidR="00C916C6" w:rsidRDefault="00C916C6" w:rsidP="00C916C6">
      <w:pPr>
        <w:spacing w:after="160" w:line="256" w:lineRule="auto"/>
        <w:jc w:val="both"/>
        <w:rPr>
          <w:rFonts w:ascii="Arial" w:eastAsia="Arial" w:hAnsi="Arial" w:cs="Arial"/>
          <w:sz w:val="24"/>
          <w:szCs w:val="24"/>
        </w:rPr>
      </w:pPr>
      <w:proofErr w:type="gramStart"/>
      <w:r>
        <w:rPr>
          <w:rFonts w:ascii="Arial" w:eastAsia="Arial" w:hAnsi="Arial" w:cs="Arial"/>
          <w:sz w:val="24"/>
          <w:szCs w:val="24"/>
        </w:rPr>
        <w:t>PRIMERO.-</w:t>
      </w:r>
      <w:proofErr w:type="gramEnd"/>
      <w:r>
        <w:rPr>
          <w:rFonts w:ascii="Arial" w:eastAsia="Arial" w:hAnsi="Arial" w:cs="Arial"/>
          <w:sz w:val="24"/>
          <w:szCs w:val="24"/>
        </w:rPr>
        <w:t xml:space="preserve"> Modificar la Ley Orgánica 2/2012 de Estabilidad Presupuestaria y Sostenibilidad Financiera para que la regla de gasto permita a las Administraciones Públicas abordar la crisis económica y social a la que nos enfrentamos.</w:t>
      </w:r>
    </w:p>
    <w:p w14:paraId="0F668F3A" w14:textId="77777777" w:rsidR="00C916C6" w:rsidRDefault="00C916C6" w:rsidP="00C916C6">
      <w:pPr>
        <w:spacing w:after="160" w:line="256" w:lineRule="auto"/>
        <w:jc w:val="both"/>
        <w:rPr>
          <w:rFonts w:ascii="Arial" w:eastAsia="Arial" w:hAnsi="Arial" w:cs="Arial"/>
          <w:sz w:val="24"/>
          <w:szCs w:val="24"/>
        </w:rPr>
      </w:pPr>
      <w:proofErr w:type="gramStart"/>
      <w:r>
        <w:rPr>
          <w:rFonts w:ascii="Arial" w:eastAsia="Arial" w:hAnsi="Arial" w:cs="Arial"/>
          <w:sz w:val="24"/>
          <w:szCs w:val="24"/>
        </w:rPr>
        <w:t>SEGUNDO.-</w:t>
      </w:r>
      <w:proofErr w:type="gramEnd"/>
      <w:r>
        <w:rPr>
          <w:rFonts w:ascii="Arial" w:eastAsia="Arial" w:hAnsi="Arial" w:cs="Arial"/>
          <w:sz w:val="24"/>
          <w:szCs w:val="24"/>
        </w:rPr>
        <w:t xml:space="preserve"> Hasta que dicha modificación de la normativa sea aprobada en el Parlamento, el Ministerio de Hacienda y la Secretaría de Financiación Autonómica y Local comunicarán a las Comunidades Autónomas y Corporaciones Locales la suspensión de las normas coercitivas que se aplican ante el incumplimiento de las reglas fiscales y en concreto, de la regla de gasto, para que puedan abordar las políticas necesarias para proteger a la población de las consecuencias de la pandemia. En ese sentido, se procederá a modificar la Guía de Interpretación de la Regla de Gasto para que los gastos extraordinarios y refuerzos en la contratación derivados de esta crisis, en </w:t>
      </w:r>
      <w:proofErr w:type="gramStart"/>
      <w:r>
        <w:rPr>
          <w:rFonts w:ascii="Arial" w:eastAsia="Arial" w:hAnsi="Arial" w:cs="Arial"/>
          <w:sz w:val="24"/>
          <w:szCs w:val="24"/>
        </w:rPr>
        <w:t>servicios sociales y promoción social</w:t>
      </w:r>
      <w:proofErr w:type="gramEnd"/>
      <w:r>
        <w:rPr>
          <w:rFonts w:ascii="Arial" w:eastAsia="Arial" w:hAnsi="Arial" w:cs="Arial"/>
          <w:sz w:val="24"/>
          <w:szCs w:val="24"/>
        </w:rPr>
        <w:t>, atención a las personas, limpieza, desinfección, seguridad ciudadana, y materiales de seguridad (EPI) de empleados municipales, no computen con las reglas de estabilidad y techo de gasto.</w:t>
      </w:r>
    </w:p>
    <w:p w14:paraId="6C916E06" w14:textId="77777777" w:rsidR="00C916C6" w:rsidRDefault="00C916C6" w:rsidP="00C916C6">
      <w:pPr>
        <w:spacing w:after="160" w:line="256" w:lineRule="auto"/>
        <w:jc w:val="both"/>
        <w:rPr>
          <w:rFonts w:ascii="Arial" w:eastAsia="Arial" w:hAnsi="Arial" w:cs="Arial"/>
          <w:sz w:val="24"/>
          <w:szCs w:val="24"/>
        </w:rPr>
      </w:pPr>
      <w:r>
        <w:rPr>
          <w:rFonts w:ascii="Arial" w:eastAsia="Arial" w:hAnsi="Arial" w:cs="Arial"/>
          <w:sz w:val="24"/>
          <w:szCs w:val="24"/>
        </w:rPr>
        <w:t xml:space="preserve">TERCERO.- Permitir superar los límites de la masa salarial, al amparo de lo anterior,  para la contratación de personal con carácter temporal y extraordinario en servicios esenciales gestionados directamente por las Entidades Locales, </w:t>
      </w:r>
      <w:r>
        <w:rPr>
          <w:rFonts w:ascii="Arial" w:eastAsia="Arial" w:hAnsi="Arial" w:cs="Arial"/>
          <w:sz w:val="24"/>
          <w:szCs w:val="24"/>
        </w:rPr>
        <w:lastRenderedPageBreak/>
        <w:t>principalmente permitir que se permita la contratación con carácter temporal y excepcional, de personal de limpieza y desinfección (en todos sus ámbitos), de trabajadores sociales, auxiliares de ayuda a domicilio y demás personal necesario para atender directamente a la población de riesgo y vulnerable.</w:t>
      </w:r>
    </w:p>
    <w:p w14:paraId="2236C0BC" w14:textId="77777777" w:rsidR="00C916C6" w:rsidRDefault="00C916C6" w:rsidP="00C916C6">
      <w:pPr>
        <w:spacing w:after="160" w:line="256" w:lineRule="auto"/>
        <w:jc w:val="both"/>
        <w:rPr>
          <w:rFonts w:ascii="Arial" w:eastAsia="Arial" w:hAnsi="Arial" w:cs="Arial"/>
          <w:sz w:val="24"/>
          <w:szCs w:val="24"/>
        </w:rPr>
      </w:pPr>
      <w:r>
        <w:rPr>
          <w:rFonts w:ascii="Arial" w:eastAsia="Arial" w:hAnsi="Arial" w:cs="Arial"/>
          <w:sz w:val="24"/>
          <w:szCs w:val="24"/>
        </w:rPr>
        <w:t xml:space="preserve">CUARTO.- </w:t>
      </w:r>
      <w:r>
        <w:rPr>
          <w:rFonts w:ascii="Arial" w:eastAsia="Arial" w:hAnsi="Arial" w:cs="Arial"/>
          <w:color w:val="000000"/>
          <w:sz w:val="24"/>
          <w:szCs w:val="24"/>
        </w:rPr>
        <w:t>El ayuntamiento de Motril insta al Gobierno Central a ampliar las competencias y capacidades de los gobiernos locales, garantizando el respecto de la autonomía local y fortaleciendo el papel de los municipios como unidad territorial básica, a derogar la Ley 27/2013 de racionalización y sostenibilidad de la Administración Local y a aprobar una nueva normativa que conceda a los municipios la capacidad de percibir unos tributos propios mínimos y de mejorar los recursos derivados de la participación en los ingresos del Estado.</w:t>
      </w:r>
    </w:p>
    <w:p w14:paraId="298CBD25" w14:textId="77777777" w:rsidR="00C916C6" w:rsidRDefault="00C916C6" w:rsidP="00C916C6">
      <w:pPr>
        <w:spacing w:after="160" w:line="256" w:lineRule="auto"/>
        <w:jc w:val="both"/>
        <w:rPr>
          <w:rFonts w:ascii="Arial" w:eastAsia="Arial" w:hAnsi="Arial" w:cs="Arial"/>
          <w:color w:val="000000"/>
          <w:sz w:val="24"/>
          <w:szCs w:val="24"/>
        </w:rPr>
      </w:pPr>
      <w:r>
        <w:rPr>
          <w:rFonts w:ascii="Arial" w:eastAsia="Arial" w:hAnsi="Arial" w:cs="Arial"/>
          <w:color w:val="000000"/>
          <w:sz w:val="24"/>
          <w:szCs w:val="24"/>
        </w:rPr>
        <w:t>QUINTO. El ayuntamiento de Motril insta a la Junta de Andalucía a llevar a cabo el pago pendiente de la PATRICA a los Ayuntamientos de Granada en cumplimiento de la ley 6/2010 de Autonomía Local y del propio Estatuto de Autonomía, que señala la obligación de financiar de forma suficiente a los ayuntamientos de la Comunidad Autónoma de Andalucía.</w:t>
      </w:r>
    </w:p>
    <w:p w14:paraId="4A1F523A" w14:textId="77777777" w:rsidR="001808E1" w:rsidRPr="00883369" w:rsidRDefault="001808E1">
      <w:pPr>
        <w:spacing w:after="0" w:line="240" w:lineRule="auto"/>
        <w:jc w:val="both"/>
        <w:rPr>
          <w:rFonts w:ascii="Arial" w:eastAsia="Arial" w:hAnsi="Arial" w:cs="Arial"/>
          <w:color w:val="7F7F7F" w:themeColor="text1" w:themeTint="80"/>
        </w:rPr>
      </w:pPr>
    </w:p>
    <w:p w14:paraId="2EA24E2B" w14:textId="77777777" w:rsidR="001808E1" w:rsidRPr="00883369" w:rsidRDefault="001808E1">
      <w:pPr>
        <w:spacing w:after="0" w:line="240" w:lineRule="auto"/>
        <w:jc w:val="both"/>
        <w:rPr>
          <w:rFonts w:ascii="Arial" w:eastAsia="Arial" w:hAnsi="Arial" w:cs="Arial"/>
          <w:color w:val="7F7F7F" w:themeColor="text1" w:themeTint="80"/>
        </w:rPr>
      </w:pPr>
    </w:p>
    <w:p w14:paraId="239DA2F6" w14:textId="77777777" w:rsidR="001808E1" w:rsidRPr="00883369" w:rsidRDefault="00333AEB">
      <w:pPr>
        <w:spacing w:after="0" w:line="240" w:lineRule="auto"/>
        <w:ind w:left="1440"/>
        <w:jc w:val="both"/>
        <w:rPr>
          <w:rFonts w:ascii="Arial" w:eastAsia="Arial" w:hAnsi="Arial" w:cs="Arial"/>
          <w:color w:val="7F7F7F" w:themeColor="text1" w:themeTint="80"/>
        </w:rPr>
      </w:pPr>
      <w:r w:rsidRPr="00883369">
        <w:rPr>
          <w:rFonts w:ascii="Arial" w:eastAsia="Arial" w:hAnsi="Arial" w:cs="Arial"/>
          <w:color w:val="7F7F7F" w:themeColor="text1" w:themeTint="80"/>
        </w:rPr>
        <w:t>Fdo.: Inmaculada Omiste Fernández</w:t>
      </w:r>
    </w:p>
    <w:p w14:paraId="71817AF3" w14:textId="77777777" w:rsidR="001808E1" w:rsidRPr="00883369" w:rsidRDefault="00333AEB">
      <w:pPr>
        <w:spacing w:after="0" w:line="240" w:lineRule="auto"/>
        <w:ind w:left="1440"/>
        <w:jc w:val="both"/>
        <w:rPr>
          <w:rFonts w:ascii="Arial" w:eastAsia="Arial" w:hAnsi="Arial" w:cs="Arial"/>
          <w:color w:val="7F7F7F" w:themeColor="text1" w:themeTint="80"/>
        </w:rPr>
      </w:pPr>
      <w:r w:rsidRPr="00883369">
        <w:rPr>
          <w:rFonts w:ascii="Arial" w:eastAsia="Arial" w:hAnsi="Arial" w:cs="Arial"/>
          <w:color w:val="7F7F7F" w:themeColor="text1" w:themeTint="80"/>
        </w:rPr>
        <w:t>Portavoz del Grupo Municipal de IU-Equo Motril</w:t>
      </w:r>
    </w:p>
    <w:sectPr w:rsidR="001808E1" w:rsidRPr="00883369">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AF18" w14:textId="77777777" w:rsidR="004D0E47" w:rsidRDefault="004D0E47">
      <w:pPr>
        <w:spacing w:after="0" w:line="240" w:lineRule="auto"/>
      </w:pPr>
      <w:r>
        <w:separator/>
      </w:r>
    </w:p>
  </w:endnote>
  <w:endnote w:type="continuationSeparator" w:id="0">
    <w:p w14:paraId="4D3C2D88" w14:textId="77777777" w:rsidR="004D0E47" w:rsidRDefault="004D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9F52" w14:textId="77777777" w:rsidR="001808E1" w:rsidRDefault="00333AEB">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F589D">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F589D">
      <w:rPr>
        <w:b/>
        <w:noProof/>
        <w:color w:val="000000"/>
        <w:sz w:val="24"/>
        <w:szCs w:val="24"/>
      </w:rPr>
      <w:t>1</w:t>
    </w:r>
    <w:r>
      <w:rPr>
        <w:b/>
        <w:color w:val="000000"/>
        <w:sz w:val="24"/>
        <w:szCs w:val="24"/>
      </w:rPr>
      <w:fldChar w:fldCharType="end"/>
    </w:r>
  </w:p>
  <w:p w14:paraId="4E5AEC9F" w14:textId="77777777" w:rsidR="001808E1" w:rsidRDefault="00333AEB">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7F7F7F"/>
      </w:rPr>
    </w:pPr>
    <w:r>
      <w:rPr>
        <w:rFonts w:ascii="Arial" w:eastAsia="Arial" w:hAnsi="Arial" w:cs="Arial"/>
        <w:b/>
        <w:color w:val="7F7F7F"/>
      </w:rPr>
      <w:t xml:space="preserve">GRUPO MUNICIPAL </w:t>
    </w:r>
  </w:p>
  <w:p w14:paraId="113475D1" w14:textId="77777777" w:rsidR="001808E1" w:rsidRDefault="00333AEB">
    <w:pPr>
      <w:pBdr>
        <w:top w:val="nil"/>
        <w:left w:val="nil"/>
        <w:bottom w:val="nil"/>
        <w:right w:val="nil"/>
        <w:between w:val="nil"/>
      </w:pBdr>
      <w:tabs>
        <w:tab w:val="right" w:pos="8478"/>
      </w:tabs>
      <w:spacing w:after="0" w:line="240" w:lineRule="auto"/>
      <w:jc w:val="center"/>
      <w:rPr>
        <w:rFonts w:ascii="Arial" w:eastAsia="Arial" w:hAnsi="Arial" w:cs="Arial"/>
        <w:b/>
        <w:color w:val="808080"/>
        <w:sz w:val="20"/>
        <w:szCs w:val="20"/>
      </w:rPr>
    </w:pPr>
    <w:r>
      <w:rPr>
        <w:rFonts w:ascii="Arial" w:eastAsia="Arial" w:hAnsi="Arial" w:cs="Arial"/>
        <w:b/>
        <w:color w:val="808080"/>
        <w:sz w:val="20"/>
        <w:szCs w:val="20"/>
      </w:rPr>
      <w:t>www.iu-equomotril.com</w:t>
    </w:r>
  </w:p>
  <w:p w14:paraId="2498958A" w14:textId="77777777" w:rsidR="001808E1" w:rsidRDefault="00333AEB">
    <w:pPr>
      <w:pBdr>
        <w:top w:val="nil"/>
        <w:left w:val="nil"/>
        <w:bottom w:val="nil"/>
        <w:right w:val="nil"/>
        <w:between w:val="nil"/>
      </w:pBdr>
      <w:tabs>
        <w:tab w:val="right" w:pos="8478"/>
      </w:tabs>
      <w:spacing w:after="0" w:line="240" w:lineRule="auto"/>
      <w:jc w:val="center"/>
      <w:rPr>
        <w:color w:val="000000"/>
        <w:sz w:val="18"/>
        <w:szCs w:val="18"/>
      </w:rPr>
    </w:pPr>
    <w:r>
      <w:rPr>
        <w:rFonts w:ascii="Arial" w:eastAsia="Arial" w:hAnsi="Arial" w:cs="Arial"/>
        <w:color w:val="808080"/>
        <w:sz w:val="18"/>
        <w:szCs w:val="18"/>
      </w:rPr>
      <w:t>958838412 I izquierda-unida@motril.es</w:t>
    </w:r>
  </w:p>
  <w:p w14:paraId="0CAD94F8" w14:textId="77777777" w:rsidR="001808E1" w:rsidRDefault="001808E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E8DFA" w14:textId="77777777" w:rsidR="004D0E47" w:rsidRDefault="004D0E47">
      <w:pPr>
        <w:spacing w:after="0" w:line="240" w:lineRule="auto"/>
      </w:pPr>
      <w:r>
        <w:separator/>
      </w:r>
    </w:p>
  </w:footnote>
  <w:footnote w:type="continuationSeparator" w:id="0">
    <w:p w14:paraId="0A572E86" w14:textId="77777777" w:rsidR="004D0E47" w:rsidRDefault="004D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275B" w14:textId="4CBFC05C" w:rsidR="001808E1" w:rsidRDefault="00C916C6" w:rsidP="00C916C6">
    <w:pPr>
      <w:pBdr>
        <w:top w:val="nil"/>
        <w:left w:val="nil"/>
        <w:bottom w:val="nil"/>
        <w:right w:val="nil"/>
        <w:between w:val="nil"/>
      </w:pBdr>
      <w:tabs>
        <w:tab w:val="center" w:pos="4252"/>
        <w:tab w:val="right" w:pos="8504"/>
      </w:tabs>
      <w:spacing w:after="0" w:line="240" w:lineRule="auto"/>
      <w:ind w:left="567"/>
      <w:jc w:val="center"/>
      <w:rPr>
        <w:color w:val="000000"/>
      </w:rPr>
    </w:pPr>
    <w:r>
      <w:rPr>
        <w:noProof/>
      </w:rPr>
      <w:drawing>
        <wp:inline distT="114300" distB="114300" distL="114300" distR="114300" wp14:anchorId="73436BF3" wp14:editId="7C914402">
          <wp:extent cx="3286125" cy="1938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6125" cy="1938338"/>
                  </a:xfrm>
                  <a:prstGeom prst="rect">
                    <a:avLst/>
                  </a:prstGeom>
                  <a:ln/>
                </pic:spPr>
              </pic:pic>
            </a:graphicData>
          </a:graphic>
        </wp:inline>
      </w:drawing>
    </w:r>
  </w:p>
  <w:p w14:paraId="1FE2AB6C" w14:textId="0F8C8907" w:rsidR="001808E1" w:rsidRDefault="001808E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751A1"/>
    <w:multiLevelType w:val="hybridMultilevel"/>
    <w:tmpl w:val="68DAD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E1"/>
    <w:rsid w:val="00003748"/>
    <w:rsid w:val="00034E7E"/>
    <w:rsid w:val="00121CDF"/>
    <w:rsid w:val="001808E1"/>
    <w:rsid w:val="002627AF"/>
    <w:rsid w:val="00333AEB"/>
    <w:rsid w:val="004D0E47"/>
    <w:rsid w:val="00537BA0"/>
    <w:rsid w:val="006177F8"/>
    <w:rsid w:val="0066670F"/>
    <w:rsid w:val="008118B8"/>
    <w:rsid w:val="0082340E"/>
    <w:rsid w:val="00883369"/>
    <w:rsid w:val="009E2FCD"/>
    <w:rsid w:val="00A51D7F"/>
    <w:rsid w:val="00A760F3"/>
    <w:rsid w:val="00A8254E"/>
    <w:rsid w:val="00BE6F08"/>
    <w:rsid w:val="00C916C6"/>
    <w:rsid w:val="00EF589D"/>
    <w:rsid w:val="00F369BA"/>
    <w:rsid w:val="00F42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D230"/>
  <w15:docId w15:val="{D9D06229-FE36-4EF8-9095-CD29BAC5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4B"/>
    <w:rPr>
      <w:lang w:eastAsia="en-US"/>
    </w:rPr>
  </w:style>
  <w:style w:type="paragraph" w:styleId="Ttulo1">
    <w:name w:val="heading 1"/>
    <w:basedOn w:val="Normal"/>
    <w:next w:val="Normal"/>
    <w:link w:val="Ttulo1Car"/>
    <w:uiPriority w:val="9"/>
    <w:qFormat/>
    <w:rsid w:val="00B23D4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B23D4B"/>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B23D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D4B"/>
    <w:rPr>
      <w:rFonts w:ascii="Calibri" w:eastAsia="Calibri" w:hAnsi="Calibri" w:cs="Times New Roman"/>
    </w:rPr>
  </w:style>
  <w:style w:type="paragraph" w:styleId="Textodeglobo">
    <w:name w:val="Balloon Text"/>
    <w:basedOn w:val="Normal"/>
    <w:link w:val="TextodegloboCar"/>
    <w:uiPriority w:val="99"/>
    <w:semiHidden/>
    <w:unhideWhenUsed/>
    <w:rsid w:val="00821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83"/>
    <w:rPr>
      <w:rFonts w:ascii="Tahoma" w:hAnsi="Tahoma" w:cs="Tahoma"/>
      <w:sz w:val="16"/>
      <w:szCs w:val="16"/>
      <w:lang w:eastAsia="en-US"/>
    </w:rPr>
  </w:style>
  <w:style w:type="paragraph" w:styleId="Piedepgina">
    <w:name w:val="footer"/>
    <w:basedOn w:val="Normal"/>
    <w:link w:val="PiedepginaCar"/>
    <w:uiPriority w:val="99"/>
    <w:unhideWhenUsed/>
    <w:rsid w:val="00701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1F9F"/>
    <w:rPr>
      <w:sz w:val="22"/>
      <w:szCs w:val="22"/>
      <w:lang w:eastAsia="en-US"/>
    </w:rPr>
  </w:style>
  <w:style w:type="paragraph" w:styleId="NormalWeb">
    <w:name w:val="Normal (Web)"/>
    <w:basedOn w:val="Normal"/>
    <w:uiPriority w:val="99"/>
    <w:unhideWhenUsed/>
    <w:rsid w:val="00A365B6"/>
    <w:pPr>
      <w:spacing w:after="75" w:line="312" w:lineRule="atLeast"/>
    </w:pPr>
    <w:rPr>
      <w:rFonts w:ascii="Verdana" w:eastAsia="Times New Roman" w:hAnsi="Verdana"/>
      <w:sz w:val="29"/>
      <w:szCs w:val="29"/>
      <w:lang w:eastAsia="es-ES"/>
    </w:rPr>
  </w:style>
  <w:style w:type="character" w:styleId="Textoennegrita">
    <w:name w:val="Strong"/>
    <w:qFormat/>
    <w:rsid w:val="00A365B6"/>
    <w:rPr>
      <w:b/>
      <w:bCs/>
    </w:rPr>
  </w:style>
  <w:style w:type="paragraph" w:customStyle="1" w:styleId="Cuerpo">
    <w:name w:val="Cuerpo"/>
    <w:rsid w:val="0075744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Prrafodelista">
    <w:name w:val="List Paragraph"/>
    <w:basedOn w:val="Normal"/>
    <w:uiPriority w:val="34"/>
    <w:qFormat/>
    <w:rsid w:val="00064759"/>
    <w:pPr>
      <w:ind w:left="720"/>
      <w:contextualSpacing/>
    </w:pPr>
  </w:style>
  <w:style w:type="character" w:customStyle="1" w:styleId="apple-converted-space">
    <w:name w:val="apple-converted-space"/>
    <w:basedOn w:val="Fuentedeprrafopredeter"/>
    <w:rsid w:val="00AC66AE"/>
  </w:style>
  <w:style w:type="character" w:styleId="Hipervnculo">
    <w:name w:val="Hyperlink"/>
    <w:basedOn w:val="Fuentedeprrafopredeter"/>
    <w:uiPriority w:val="99"/>
    <w:unhideWhenUsed/>
    <w:rsid w:val="000F6A75"/>
    <w:rPr>
      <w:color w:val="0000FF"/>
      <w:u w:val="single"/>
    </w:rPr>
  </w:style>
  <w:style w:type="character" w:styleId="nfasis">
    <w:name w:val="Emphasis"/>
    <w:basedOn w:val="Fuentedeprrafopredeter"/>
    <w:uiPriority w:val="20"/>
    <w:qFormat/>
    <w:rsid w:val="00295BCA"/>
    <w:rPr>
      <w:i/>
      <w:iCs/>
    </w:rPr>
  </w:style>
  <w:style w:type="paragraph" w:styleId="Textoindependiente">
    <w:name w:val="Body Text"/>
    <w:basedOn w:val="Normal"/>
    <w:link w:val="TextoindependienteCar"/>
    <w:rsid w:val="009F41CB"/>
    <w:pPr>
      <w:widowControl w:val="0"/>
      <w:suppressAutoHyphens/>
      <w:spacing w:after="140" w:line="288" w:lineRule="auto"/>
    </w:pPr>
    <w:rPr>
      <w:rFonts w:ascii="Times New Roman" w:eastAsia="Droid Sans Fallback" w:hAnsi="Times New Roman" w:cs="FreeSans"/>
      <w:kern w:val="1"/>
      <w:sz w:val="24"/>
      <w:szCs w:val="24"/>
      <w:lang w:eastAsia="zh-CN" w:bidi="hi-IN"/>
    </w:rPr>
  </w:style>
  <w:style w:type="character" w:customStyle="1" w:styleId="TextoindependienteCar">
    <w:name w:val="Texto independiente Car"/>
    <w:basedOn w:val="Fuentedeprrafopredeter"/>
    <w:link w:val="Textoindependiente"/>
    <w:rsid w:val="009F41CB"/>
    <w:rPr>
      <w:rFonts w:ascii="Times New Roman" w:eastAsia="Droid Sans Fallback" w:hAnsi="Times New Roman" w:cs="FreeSans"/>
      <w:kern w:val="1"/>
      <w:sz w:val="24"/>
      <w:szCs w:val="24"/>
      <w:lang w:eastAsia="zh-CN" w:bidi="hi-IN"/>
    </w:rPr>
  </w:style>
  <w:style w:type="character" w:customStyle="1" w:styleId="Ninguno">
    <w:name w:val="Ninguno"/>
    <w:rsid w:val="001B01F9"/>
  </w:style>
  <w:style w:type="paragraph" w:customStyle="1" w:styleId="Normal1">
    <w:name w:val="Normal1"/>
    <w:rsid w:val="00E26B8E"/>
    <w:rPr>
      <w:color w:val="00000A"/>
    </w:rPr>
  </w:style>
  <w:style w:type="paragraph" w:customStyle="1" w:styleId="Encabezado1">
    <w:name w:val="Encabezado1"/>
    <w:basedOn w:val="Normal"/>
    <w:next w:val="Textoindependiente"/>
    <w:rsid w:val="00F559F6"/>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24212">
      <w:bodyDiv w:val="1"/>
      <w:marLeft w:val="0"/>
      <w:marRight w:val="0"/>
      <w:marTop w:val="0"/>
      <w:marBottom w:val="0"/>
      <w:divBdr>
        <w:top w:val="none" w:sz="0" w:space="0" w:color="auto"/>
        <w:left w:val="none" w:sz="0" w:space="0" w:color="auto"/>
        <w:bottom w:val="none" w:sz="0" w:space="0" w:color="auto"/>
        <w:right w:val="none" w:sz="0" w:space="0" w:color="auto"/>
      </w:divBdr>
    </w:div>
    <w:div w:id="2124880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l9PPMBzjzmzuAos/4mwl/uFqA==">AMUW2mUUrcGalG+Ekq1c+CzfIvGIIdv9XIm7tzYteCQltH2Ftu2jWshKb6gaGWKgylF9GrngTBXHSdjBeC6hdT0/qOhMYkrBRQbLcsn422FK5QVpTX+eAaM=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c:creator>
  <cp:lastModifiedBy>IZQUIERDA UNIDA</cp:lastModifiedBy>
  <cp:revision>3</cp:revision>
  <cp:lastPrinted>2020-01-07T10:49:00Z</cp:lastPrinted>
  <dcterms:created xsi:type="dcterms:W3CDTF">2020-06-16T10:39:00Z</dcterms:created>
  <dcterms:modified xsi:type="dcterms:W3CDTF">2020-06-16T10:41:00Z</dcterms:modified>
</cp:coreProperties>
</file>